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B869" w14:textId="77777777" w:rsidR="00EC1BB0" w:rsidRDefault="00EC1BB0" w:rsidP="00466688">
      <w:pPr>
        <w:pStyle w:val="Heading1"/>
      </w:pPr>
    </w:p>
    <w:p w14:paraId="590BF0C6" w14:textId="763282F6" w:rsidR="00466688" w:rsidRPr="005A4665" w:rsidRDefault="00466688" w:rsidP="00466688">
      <w:pPr>
        <w:pStyle w:val="Heading1"/>
        <w:rPr>
          <w:rFonts w:ascii="Arial" w:hAnsi="Arial" w:cs="Arial"/>
          <w:b/>
          <w:bCs/>
          <w:color w:val="00B0F0"/>
        </w:rPr>
      </w:pPr>
      <w:r w:rsidRPr="005A4665">
        <w:rPr>
          <w:rFonts w:ascii="Arial" w:hAnsi="Arial" w:cs="Arial"/>
          <w:b/>
          <w:bCs/>
          <w:color w:val="00B0F0"/>
        </w:rPr>
        <w:t>6.2.5 Rural Zone Code</w:t>
      </w:r>
    </w:p>
    <w:p w14:paraId="0AD70A03" w14:textId="77777777" w:rsidR="00EC1BB0" w:rsidRPr="00EC1BB0" w:rsidRDefault="00EC1BB0" w:rsidP="00EC1B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827"/>
        <w:gridCol w:w="1677"/>
        <w:gridCol w:w="3487"/>
      </w:tblGrid>
      <w:tr w:rsidR="00EA4240" w:rsidRPr="005A4665" w14:paraId="33F39B09" w14:textId="22C312E0" w:rsidTr="005A4665">
        <w:tc>
          <w:tcPr>
            <w:tcW w:w="1777" w:type="pct"/>
            <w:tcBorders>
              <w:bottom w:val="single" w:sz="4" w:space="0" w:color="auto"/>
            </w:tcBorders>
            <w:shd w:val="clear" w:color="auto" w:fill="9CC2E5" w:themeFill="accent5" w:themeFillTint="99"/>
          </w:tcPr>
          <w:p w14:paraId="4710A0F1" w14:textId="77777777" w:rsidR="00EA4240" w:rsidRPr="005A4665" w:rsidRDefault="00EA4240" w:rsidP="00466688">
            <w:pPr>
              <w:rPr>
                <w:rFonts w:ascii="Arial" w:hAnsi="Arial" w:cs="Arial"/>
                <w:b/>
                <w:sz w:val="20"/>
                <w:szCs w:val="20"/>
              </w:rPr>
            </w:pPr>
            <w:r w:rsidRPr="005A4665">
              <w:rPr>
                <w:rFonts w:ascii="Arial" w:hAnsi="Arial" w:cs="Arial"/>
                <w:b/>
                <w:sz w:val="20"/>
                <w:szCs w:val="20"/>
              </w:rPr>
              <w:t>Performance outcomes</w:t>
            </w:r>
          </w:p>
        </w:tc>
        <w:tc>
          <w:tcPr>
            <w:tcW w:w="1372" w:type="pct"/>
            <w:tcBorders>
              <w:bottom w:val="single" w:sz="4" w:space="0" w:color="auto"/>
            </w:tcBorders>
            <w:shd w:val="clear" w:color="auto" w:fill="9CC2E5" w:themeFill="accent5" w:themeFillTint="99"/>
          </w:tcPr>
          <w:p w14:paraId="63FB1F7B" w14:textId="77777777" w:rsidR="00EA4240" w:rsidRPr="005A4665" w:rsidRDefault="00EA4240" w:rsidP="00466688">
            <w:pPr>
              <w:rPr>
                <w:rFonts w:ascii="Arial" w:hAnsi="Arial" w:cs="Arial"/>
                <w:b/>
                <w:sz w:val="20"/>
                <w:szCs w:val="20"/>
              </w:rPr>
            </w:pPr>
            <w:r w:rsidRPr="005A4665">
              <w:rPr>
                <w:rFonts w:ascii="Arial" w:hAnsi="Arial" w:cs="Arial"/>
                <w:b/>
                <w:sz w:val="20"/>
                <w:szCs w:val="20"/>
              </w:rPr>
              <w:t>Acceptable outcomes</w:t>
            </w:r>
          </w:p>
        </w:tc>
        <w:tc>
          <w:tcPr>
            <w:tcW w:w="601" w:type="pct"/>
            <w:tcBorders>
              <w:bottom w:val="single" w:sz="4" w:space="0" w:color="auto"/>
            </w:tcBorders>
            <w:shd w:val="clear" w:color="auto" w:fill="9CC2E5" w:themeFill="accent5" w:themeFillTint="99"/>
          </w:tcPr>
          <w:p w14:paraId="36D57BA3" w14:textId="7B327052" w:rsidR="00EA4240" w:rsidRPr="005A4665" w:rsidRDefault="00EA4240" w:rsidP="00466688">
            <w:pPr>
              <w:rPr>
                <w:rFonts w:ascii="Arial" w:hAnsi="Arial" w:cs="Arial"/>
                <w:b/>
                <w:sz w:val="20"/>
                <w:szCs w:val="20"/>
              </w:rPr>
            </w:pPr>
            <w:r w:rsidRPr="005A4665">
              <w:rPr>
                <w:rFonts w:ascii="Arial" w:hAnsi="Arial" w:cs="Arial"/>
                <w:b/>
                <w:sz w:val="20"/>
                <w:szCs w:val="20"/>
              </w:rPr>
              <w:t>Complies</w:t>
            </w:r>
          </w:p>
        </w:tc>
        <w:tc>
          <w:tcPr>
            <w:tcW w:w="1250" w:type="pct"/>
            <w:tcBorders>
              <w:bottom w:val="single" w:sz="4" w:space="0" w:color="auto"/>
            </w:tcBorders>
            <w:shd w:val="clear" w:color="auto" w:fill="9CC2E5" w:themeFill="accent5" w:themeFillTint="99"/>
          </w:tcPr>
          <w:p w14:paraId="30B7EBB3" w14:textId="2B65F51F" w:rsidR="00EA4240" w:rsidRPr="005A4665" w:rsidRDefault="00EA4240" w:rsidP="00466688">
            <w:pPr>
              <w:rPr>
                <w:rFonts w:ascii="Arial" w:hAnsi="Arial" w:cs="Arial"/>
                <w:b/>
                <w:sz w:val="20"/>
                <w:szCs w:val="20"/>
              </w:rPr>
            </w:pPr>
            <w:r w:rsidRPr="005A4665">
              <w:rPr>
                <w:rFonts w:ascii="Arial" w:hAnsi="Arial" w:cs="Arial"/>
                <w:b/>
                <w:sz w:val="20"/>
                <w:szCs w:val="20"/>
              </w:rPr>
              <w:t>Justification for Compliance</w:t>
            </w:r>
            <w:r w:rsidR="00331CE3">
              <w:rPr>
                <w:rFonts w:ascii="Arial" w:hAnsi="Arial" w:cs="Arial"/>
                <w:b/>
                <w:sz w:val="20"/>
                <w:szCs w:val="20"/>
              </w:rPr>
              <w:t xml:space="preserve"> or Alternative Solution to achieve compliance </w:t>
            </w:r>
          </w:p>
        </w:tc>
      </w:tr>
      <w:tr w:rsidR="00EA4240" w:rsidRPr="005A4665" w14:paraId="4FF8A674" w14:textId="0ED133ED" w:rsidTr="005A4665">
        <w:tc>
          <w:tcPr>
            <w:tcW w:w="3149" w:type="pct"/>
            <w:gridSpan w:val="2"/>
            <w:shd w:val="clear" w:color="auto" w:fill="9CC2E5" w:themeFill="accent5" w:themeFillTint="99"/>
          </w:tcPr>
          <w:p w14:paraId="238F6A95" w14:textId="77777777" w:rsidR="00EA4240" w:rsidRPr="005A4665" w:rsidRDefault="00EA4240" w:rsidP="00466688">
            <w:pPr>
              <w:rPr>
                <w:rFonts w:ascii="Arial" w:hAnsi="Arial" w:cs="Arial"/>
                <w:b/>
                <w:sz w:val="20"/>
                <w:szCs w:val="20"/>
              </w:rPr>
            </w:pPr>
            <w:r w:rsidRPr="005A4665">
              <w:rPr>
                <w:rFonts w:ascii="Arial" w:hAnsi="Arial" w:cs="Arial"/>
                <w:b/>
                <w:sz w:val="20"/>
                <w:szCs w:val="20"/>
              </w:rPr>
              <w:t>For assessable development</w:t>
            </w:r>
          </w:p>
        </w:tc>
        <w:tc>
          <w:tcPr>
            <w:tcW w:w="601" w:type="pct"/>
            <w:shd w:val="clear" w:color="auto" w:fill="9CC2E5" w:themeFill="accent5" w:themeFillTint="99"/>
          </w:tcPr>
          <w:p w14:paraId="6D59D6B9" w14:textId="77777777" w:rsidR="00EA4240" w:rsidRPr="005A4665" w:rsidRDefault="00EA4240" w:rsidP="00466688">
            <w:pPr>
              <w:rPr>
                <w:rFonts w:ascii="Arial" w:hAnsi="Arial" w:cs="Arial"/>
                <w:b/>
                <w:sz w:val="20"/>
                <w:szCs w:val="20"/>
              </w:rPr>
            </w:pPr>
          </w:p>
        </w:tc>
        <w:tc>
          <w:tcPr>
            <w:tcW w:w="1250" w:type="pct"/>
            <w:shd w:val="clear" w:color="auto" w:fill="9CC2E5" w:themeFill="accent5" w:themeFillTint="99"/>
          </w:tcPr>
          <w:p w14:paraId="0AC1C9BE" w14:textId="77777777" w:rsidR="00EA4240" w:rsidRPr="005A4665" w:rsidRDefault="00EA4240" w:rsidP="00466688">
            <w:pPr>
              <w:rPr>
                <w:rFonts w:ascii="Arial" w:hAnsi="Arial" w:cs="Arial"/>
                <w:b/>
                <w:sz w:val="20"/>
                <w:szCs w:val="20"/>
              </w:rPr>
            </w:pPr>
          </w:p>
        </w:tc>
      </w:tr>
      <w:tr w:rsidR="00EA4240" w:rsidRPr="005A4665" w14:paraId="2FA5CC7B" w14:textId="4B6C7AAF" w:rsidTr="005A4665">
        <w:tc>
          <w:tcPr>
            <w:tcW w:w="1777" w:type="pct"/>
            <w:shd w:val="clear" w:color="auto" w:fill="auto"/>
          </w:tcPr>
          <w:p w14:paraId="11167F31" w14:textId="77777777" w:rsidR="00EA4240" w:rsidRPr="005A4665" w:rsidRDefault="00EA4240" w:rsidP="00466688">
            <w:pPr>
              <w:rPr>
                <w:rFonts w:ascii="Arial" w:hAnsi="Arial" w:cs="Arial"/>
                <w:b/>
                <w:sz w:val="20"/>
                <w:szCs w:val="20"/>
              </w:rPr>
            </w:pPr>
            <w:r w:rsidRPr="005A4665">
              <w:rPr>
                <w:rFonts w:ascii="Arial" w:hAnsi="Arial" w:cs="Arial"/>
                <w:b/>
                <w:sz w:val="20"/>
                <w:szCs w:val="20"/>
              </w:rPr>
              <w:t>PO1</w:t>
            </w:r>
          </w:p>
          <w:p w14:paraId="271A467B" w14:textId="77777777" w:rsidR="00EA4240" w:rsidRPr="005A4665" w:rsidRDefault="00EA4240" w:rsidP="00466688">
            <w:pPr>
              <w:rPr>
                <w:rFonts w:ascii="Arial" w:hAnsi="Arial" w:cs="Arial"/>
                <w:sz w:val="20"/>
                <w:szCs w:val="20"/>
              </w:rPr>
            </w:pPr>
            <w:r w:rsidRPr="005A4665">
              <w:rPr>
                <w:rFonts w:ascii="Arial" w:hAnsi="Arial" w:cs="Arial"/>
                <w:sz w:val="20"/>
                <w:szCs w:val="20"/>
              </w:rPr>
              <w:t xml:space="preserve">Proposed uses established in the Rural zone do not conflict with existing rural land uses or the biodiversity (including MSES), scenic and community values of the area.  </w:t>
            </w:r>
          </w:p>
        </w:tc>
        <w:tc>
          <w:tcPr>
            <w:tcW w:w="1372" w:type="pct"/>
            <w:shd w:val="clear" w:color="auto" w:fill="auto"/>
          </w:tcPr>
          <w:p w14:paraId="360EA1B2" w14:textId="77777777" w:rsidR="00EA4240" w:rsidRPr="005A4665" w:rsidRDefault="00EA4240" w:rsidP="00466688">
            <w:pPr>
              <w:rPr>
                <w:rFonts w:ascii="Arial" w:hAnsi="Arial" w:cs="Arial"/>
                <w:b/>
                <w:sz w:val="20"/>
                <w:szCs w:val="20"/>
              </w:rPr>
            </w:pPr>
            <w:r w:rsidRPr="005A4665">
              <w:rPr>
                <w:rFonts w:ascii="Arial" w:hAnsi="Arial" w:cs="Arial"/>
                <w:b/>
                <w:sz w:val="20"/>
                <w:szCs w:val="20"/>
              </w:rPr>
              <w:t>AO1</w:t>
            </w:r>
          </w:p>
          <w:p w14:paraId="6A5DE84D" w14:textId="77777777" w:rsidR="00EA4240" w:rsidRPr="005A4665" w:rsidRDefault="00EA4240" w:rsidP="00466688">
            <w:pPr>
              <w:rPr>
                <w:rFonts w:ascii="Arial" w:hAnsi="Arial" w:cs="Arial"/>
                <w:sz w:val="20"/>
                <w:szCs w:val="20"/>
              </w:rPr>
            </w:pPr>
            <w:r w:rsidRPr="005A4665">
              <w:rPr>
                <w:rFonts w:ascii="Arial" w:hAnsi="Arial" w:cs="Arial"/>
                <w:sz w:val="20"/>
                <w:szCs w:val="20"/>
              </w:rPr>
              <w:t>No acceptable outcome is prescribed.</w:t>
            </w:r>
          </w:p>
        </w:tc>
        <w:tc>
          <w:tcPr>
            <w:tcW w:w="601" w:type="pct"/>
          </w:tcPr>
          <w:p w14:paraId="5A89240C" w14:textId="77777777" w:rsidR="00EA4240" w:rsidRPr="005A4665" w:rsidRDefault="00EA4240" w:rsidP="00466688">
            <w:pPr>
              <w:rPr>
                <w:rFonts w:ascii="Arial" w:hAnsi="Arial" w:cs="Arial"/>
                <w:b/>
                <w:sz w:val="20"/>
                <w:szCs w:val="20"/>
              </w:rPr>
            </w:pPr>
          </w:p>
        </w:tc>
        <w:tc>
          <w:tcPr>
            <w:tcW w:w="1250" w:type="pct"/>
          </w:tcPr>
          <w:p w14:paraId="1BAB63B1" w14:textId="77777777" w:rsidR="00EA4240" w:rsidRPr="005A4665" w:rsidRDefault="00EA4240" w:rsidP="00466688">
            <w:pPr>
              <w:rPr>
                <w:rFonts w:ascii="Arial" w:hAnsi="Arial" w:cs="Arial"/>
                <w:b/>
                <w:sz w:val="20"/>
                <w:szCs w:val="20"/>
              </w:rPr>
            </w:pPr>
          </w:p>
        </w:tc>
      </w:tr>
      <w:tr w:rsidR="00EA4240" w:rsidRPr="005A4665" w14:paraId="55C12B1B" w14:textId="0A43D203" w:rsidTr="005A4665">
        <w:trPr>
          <w:trHeight w:val="2101"/>
        </w:trPr>
        <w:tc>
          <w:tcPr>
            <w:tcW w:w="1777" w:type="pct"/>
            <w:shd w:val="clear" w:color="auto" w:fill="auto"/>
          </w:tcPr>
          <w:p w14:paraId="06A263DA" w14:textId="77777777" w:rsidR="00EA4240" w:rsidRPr="005A4665" w:rsidRDefault="00EA4240" w:rsidP="00466688">
            <w:pPr>
              <w:rPr>
                <w:rFonts w:ascii="Arial" w:hAnsi="Arial" w:cs="Arial"/>
                <w:b/>
                <w:sz w:val="20"/>
                <w:szCs w:val="20"/>
              </w:rPr>
            </w:pPr>
            <w:r w:rsidRPr="005A4665">
              <w:rPr>
                <w:rFonts w:ascii="Arial" w:hAnsi="Arial" w:cs="Arial"/>
                <w:b/>
                <w:sz w:val="20"/>
                <w:szCs w:val="20"/>
              </w:rPr>
              <w:t>PO2</w:t>
            </w:r>
          </w:p>
          <w:p w14:paraId="1EDD5B85" w14:textId="77777777" w:rsidR="00EA4240" w:rsidRPr="005A4665" w:rsidRDefault="00EA4240" w:rsidP="00466688">
            <w:pPr>
              <w:rPr>
                <w:rFonts w:ascii="Arial" w:hAnsi="Arial" w:cs="Arial"/>
                <w:sz w:val="20"/>
                <w:szCs w:val="20"/>
              </w:rPr>
            </w:pPr>
            <w:r w:rsidRPr="005A4665">
              <w:rPr>
                <w:rFonts w:ascii="Arial" w:hAnsi="Arial" w:cs="Arial"/>
                <w:sz w:val="20"/>
                <w:szCs w:val="20"/>
              </w:rPr>
              <w:t>Uses established in the Rural zone do not conflict with:</w:t>
            </w:r>
          </w:p>
          <w:p w14:paraId="2D0CAF12" w14:textId="77777777" w:rsidR="00EA4240" w:rsidRPr="005A4665" w:rsidRDefault="00EA4240" w:rsidP="00466688">
            <w:pPr>
              <w:numPr>
                <w:ilvl w:val="1"/>
                <w:numId w:val="2"/>
              </w:numPr>
              <w:rPr>
                <w:rFonts w:ascii="Arial" w:hAnsi="Arial" w:cs="Arial"/>
                <w:sz w:val="20"/>
                <w:szCs w:val="20"/>
              </w:rPr>
            </w:pPr>
            <w:r w:rsidRPr="005A4665">
              <w:rPr>
                <w:rFonts w:ascii="Arial" w:hAnsi="Arial" w:cs="Arial"/>
                <w:sz w:val="20"/>
                <w:szCs w:val="20"/>
              </w:rPr>
              <w:t>petroleum infrastructure that occurs on petroleum leases or under petroleum facility licences and pipeline licences.</w:t>
            </w:r>
          </w:p>
          <w:p w14:paraId="5AA51064" w14:textId="77777777" w:rsidR="00EA4240" w:rsidRPr="005A4665" w:rsidRDefault="00EA4240" w:rsidP="00466688">
            <w:pPr>
              <w:numPr>
                <w:ilvl w:val="1"/>
                <w:numId w:val="2"/>
              </w:numPr>
              <w:rPr>
                <w:rFonts w:ascii="Arial" w:hAnsi="Arial" w:cs="Arial"/>
                <w:b/>
                <w:sz w:val="20"/>
                <w:szCs w:val="20"/>
              </w:rPr>
            </w:pPr>
            <w:r w:rsidRPr="005A4665">
              <w:rPr>
                <w:rFonts w:ascii="Arial" w:hAnsi="Arial" w:cs="Arial"/>
                <w:sz w:val="20"/>
                <w:szCs w:val="20"/>
              </w:rPr>
              <w:t>the function of stock routes.</w:t>
            </w:r>
          </w:p>
          <w:p w14:paraId="0972B7C7" w14:textId="77777777" w:rsidR="00EA4240" w:rsidRPr="005A4665" w:rsidRDefault="00EA4240" w:rsidP="00466688">
            <w:pPr>
              <w:numPr>
                <w:ilvl w:val="1"/>
                <w:numId w:val="2"/>
              </w:numPr>
              <w:rPr>
                <w:rFonts w:ascii="Arial" w:hAnsi="Arial" w:cs="Arial"/>
                <w:b/>
                <w:sz w:val="20"/>
                <w:szCs w:val="20"/>
              </w:rPr>
            </w:pPr>
            <w:r w:rsidRPr="005A4665">
              <w:rPr>
                <w:rFonts w:ascii="Arial" w:hAnsi="Arial" w:cs="Arial"/>
                <w:sz w:val="20"/>
                <w:szCs w:val="20"/>
              </w:rPr>
              <w:t>mining leases and claims.</w:t>
            </w:r>
          </w:p>
        </w:tc>
        <w:tc>
          <w:tcPr>
            <w:tcW w:w="1372" w:type="pct"/>
            <w:shd w:val="clear" w:color="auto" w:fill="auto"/>
          </w:tcPr>
          <w:p w14:paraId="110112E8" w14:textId="77777777" w:rsidR="00EA4240" w:rsidRPr="005A4665" w:rsidRDefault="00EA4240" w:rsidP="00466688">
            <w:pPr>
              <w:rPr>
                <w:rFonts w:ascii="Arial" w:hAnsi="Arial" w:cs="Arial"/>
                <w:b/>
                <w:sz w:val="20"/>
                <w:szCs w:val="20"/>
              </w:rPr>
            </w:pPr>
            <w:r w:rsidRPr="005A4665">
              <w:rPr>
                <w:rFonts w:ascii="Arial" w:hAnsi="Arial" w:cs="Arial"/>
                <w:b/>
                <w:sz w:val="20"/>
                <w:szCs w:val="20"/>
              </w:rPr>
              <w:t>AO2.1</w:t>
            </w:r>
          </w:p>
          <w:p w14:paraId="713EF7F0" w14:textId="77777777" w:rsidR="00EA4240" w:rsidRPr="005A4665" w:rsidRDefault="00EA4240" w:rsidP="00466688">
            <w:pPr>
              <w:rPr>
                <w:rFonts w:ascii="Arial" w:hAnsi="Arial" w:cs="Arial"/>
                <w:sz w:val="20"/>
                <w:szCs w:val="20"/>
              </w:rPr>
            </w:pPr>
            <w:r w:rsidRPr="005A4665">
              <w:rPr>
                <w:rFonts w:ascii="Arial" w:hAnsi="Arial" w:cs="Arial"/>
                <w:sz w:val="20"/>
                <w:szCs w:val="20"/>
              </w:rPr>
              <w:t xml:space="preserve">Development is located a minimum of 200m from a pipeline or pipeline easement in </w:t>
            </w:r>
            <w:r w:rsidRPr="005A4665">
              <w:rPr>
                <w:rFonts w:ascii="Arial" w:hAnsi="Arial" w:cs="Arial"/>
                <w:sz w:val="20"/>
                <w:szCs w:val="20"/>
                <w:u w:val="single"/>
              </w:rPr>
              <w:t>SPP Mapping – Hazards and Safety – Emissions and Hazardous Activities – High pressure gas pipelines. Schedule 4 – Online Mapping Resources – Mines Online Maps.</w:t>
            </w:r>
            <w:r w:rsidRPr="005A4665">
              <w:rPr>
                <w:rFonts w:ascii="Arial" w:hAnsi="Arial" w:cs="Arial"/>
                <w:sz w:val="20"/>
                <w:szCs w:val="20"/>
              </w:rPr>
              <w:t xml:space="preserve"> </w:t>
            </w:r>
          </w:p>
          <w:p w14:paraId="17BAB218" w14:textId="77777777" w:rsidR="00EA4240" w:rsidRPr="005A4665" w:rsidRDefault="00EA4240" w:rsidP="00466688">
            <w:pPr>
              <w:rPr>
                <w:rFonts w:ascii="Arial" w:hAnsi="Arial" w:cs="Arial"/>
                <w:sz w:val="20"/>
                <w:szCs w:val="20"/>
              </w:rPr>
            </w:pPr>
          </w:p>
          <w:p w14:paraId="704EF897" w14:textId="77777777" w:rsidR="00EA4240" w:rsidRPr="005A4665" w:rsidRDefault="00EA4240" w:rsidP="00466688">
            <w:pPr>
              <w:rPr>
                <w:rFonts w:ascii="Arial" w:hAnsi="Arial" w:cs="Arial"/>
                <w:b/>
                <w:sz w:val="20"/>
                <w:szCs w:val="20"/>
              </w:rPr>
            </w:pPr>
            <w:r w:rsidRPr="005A4665">
              <w:rPr>
                <w:rFonts w:ascii="Arial" w:hAnsi="Arial" w:cs="Arial"/>
                <w:b/>
                <w:sz w:val="20"/>
                <w:szCs w:val="20"/>
              </w:rPr>
              <w:t>AO2.2</w:t>
            </w:r>
          </w:p>
          <w:p w14:paraId="20A3A9B3" w14:textId="77777777" w:rsidR="00EA4240" w:rsidRPr="005A4665" w:rsidRDefault="00EA4240" w:rsidP="00466688">
            <w:pPr>
              <w:rPr>
                <w:rFonts w:ascii="Arial" w:hAnsi="Arial" w:cs="Arial"/>
                <w:sz w:val="20"/>
                <w:szCs w:val="20"/>
              </w:rPr>
            </w:pPr>
            <w:r w:rsidRPr="005A4665">
              <w:rPr>
                <w:rFonts w:ascii="Arial" w:hAnsi="Arial" w:cs="Arial"/>
                <w:sz w:val="20"/>
                <w:szCs w:val="20"/>
              </w:rPr>
              <w:t xml:space="preserve">No acceptable outcome is prescribed for the use of lots fronting the stock route network on </w:t>
            </w:r>
            <w:hyperlink r:id="rId7" w:history="1">
              <w:r w:rsidRPr="005A4665">
                <w:rPr>
                  <w:rStyle w:val="Hyperlink"/>
                  <w:rFonts w:ascii="Arial" w:hAnsi="Arial" w:cs="Arial"/>
                  <w:sz w:val="20"/>
                  <w:szCs w:val="20"/>
                </w:rPr>
                <w:t xml:space="preserve">SPP mapping – Economic </w:t>
              </w:r>
              <w:r w:rsidRPr="005A4665">
                <w:rPr>
                  <w:rStyle w:val="Hyperlink"/>
                  <w:rFonts w:ascii="Arial" w:hAnsi="Arial" w:cs="Arial"/>
                  <w:sz w:val="20"/>
                  <w:szCs w:val="20"/>
                </w:rPr>
                <w:lastRenderedPageBreak/>
                <w:t>Growth, Agriculture, Stock Route Network</w:t>
              </w:r>
            </w:hyperlink>
            <w:r w:rsidRPr="005A4665">
              <w:rPr>
                <w:rFonts w:ascii="Arial" w:hAnsi="Arial" w:cs="Arial"/>
                <w:sz w:val="20"/>
                <w:szCs w:val="20"/>
              </w:rPr>
              <w:t xml:space="preserve">. </w:t>
            </w:r>
          </w:p>
          <w:p w14:paraId="41B200C8" w14:textId="77777777" w:rsidR="00EA4240" w:rsidRPr="005A4665" w:rsidRDefault="00EA4240" w:rsidP="00466688">
            <w:pPr>
              <w:rPr>
                <w:rFonts w:ascii="Arial" w:hAnsi="Arial" w:cs="Arial"/>
                <w:b/>
                <w:sz w:val="20"/>
                <w:szCs w:val="20"/>
              </w:rPr>
            </w:pPr>
            <w:r w:rsidRPr="005A4665">
              <w:rPr>
                <w:rFonts w:ascii="Arial" w:hAnsi="Arial" w:cs="Arial"/>
                <w:b/>
                <w:sz w:val="20"/>
                <w:szCs w:val="20"/>
              </w:rPr>
              <w:t>AO2.3</w:t>
            </w:r>
          </w:p>
          <w:p w14:paraId="64D4E0CE" w14:textId="77777777" w:rsidR="00EA4240" w:rsidRPr="005A4665" w:rsidRDefault="00EA4240" w:rsidP="00466688">
            <w:pPr>
              <w:rPr>
                <w:rFonts w:ascii="Arial" w:hAnsi="Arial" w:cs="Arial"/>
                <w:sz w:val="20"/>
                <w:szCs w:val="20"/>
              </w:rPr>
            </w:pPr>
            <w:r w:rsidRPr="005A4665">
              <w:rPr>
                <w:rFonts w:ascii="Arial" w:hAnsi="Arial" w:cs="Arial"/>
                <w:sz w:val="20"/>
                <w:szCs w:val="20"/>
              </w:rPr>
              <w:t xml:space="preserve">Development that occurs within a priority agricultural area is undertaken in accordance with the </w:t>
            </w:r>
            <w:r w:rsidRPr="005A4665">
              <w:rPr>
                <w:rFonts w:ascii="Arial" w:hAnsi="Arial" w:cs="Arial"/>
                <w:i/>
                <w:sz w:val="20"/>
                <w:szCs w:val="20"/>
              </w:rPr>
              <w:t>Regional Planning Interests Act</w:t>
            </w:r>
            <w:r w:rsidRPr="005A4665">
              <w:rPr>
                <w:rFonts w:ascii="Arial" w:hAnsi="Arial" w:cs="Arial"/>
                <w:sz w:val="20"/>
                <w:szCs w:val="20"/>
              </w:rPr>
              <w:t>.</w:t>
            </w:r>
          </w:p>
        </w:tc>
        <w:tc>
          <w:tcPr>
            <w:tcW w:w="601" w:type="pct"/>
          </w:tcPr>
          <w:p w14:paraId="517C37F6" w14:textId="77777777" w:rsidR="00EA4240" w:rsidRPr="005A4665" w:rsidRDefault="00EA4240" w:rsidP="00466688">
            <w:pPr>
              <w:rPr>
                <w:rFonts w:ascii="Arial" w:hAnsi="Arial" w:cs="Arial"/>
                <w:b/>
                <w:sz w:val="20"/>
                <w:szCs w:val="20"/>
              </w:rPr>
            </w:pPr>
          </w:p>
        </w:tc>
        <w:tc>
          <w:tcPr>
            <w:tcW w:w="1250" w:type="pct"/>
          </w:tcPr>
          <w:p w14:paraId="66DC66D3" w14:textId="77777777" w:rsidR="00EA4240" w:rsidRPr="005A4665" w:rsidRDefault="00EA4240" w:rsidP="00466688">
            <w:pPr>
              <w:rPr>
                <w:rFonts w:ascii="Arial" w:hAnsi="Arial" w:cs="Arial"/>
                <w:b/>
                <w:sz w:val="20"/>
                <w:szCs w:val="20"/>
              </w:rPr>
            </w:pPr>
          </w:p>
        </w:tc>
      </w:tr>
      <w:tr w:rsidR="00EA4240" w:rsidRPr="005A4665" w14:paraId="42626DFC" w14:textId="772EFC12" w:rsidTr="005A4665">
        <w:tc>
          <w:tcPr>
            <w:tcW w:w="1777" w:type="pct"/>
            <w:shd w:val="clear" w:color="auto" w:fill="auto"/>
          </w:tcPr>
          <w:p w14:paraId="6E9F96B4" w14:textId="77777777" w:rsidR="00EA4240" w:rsidRPr="005A4665" w:rsidRDefault="00EA4240" w:rsidP="00466688">
            <w:pPr>
              <w:rPr>
                <w:rFonts w:ascii="Arial" w:hAnsi="Arial" w:cs="Arial"/>
                <w:b/>
                <w:sz w:val="20"/>
                <w:szCs w:val="20"/>
              </w:rPr>
            </w:pPr>
            <w:r w:rsidRPr="005A4665">
              <w:rPr>
                <w:rFonts w:ascii="Arial" w:hAnsi="Arial" w:cs="Arial"/>
                <w:b/>
                <w:sz w:val="20"/>
                <w:szCs w:val="20"/>
              </w:rPr>
              <w:t>PO3</w:t>
            </w:r>
          </w:p>
          <w:p w14:paraId="7B6566CE" w14:textId="77777777" w:rsidR="00EA4240" w:rsidRPr="005A4665" w:rsidRDefault="00EA4240" w:rsidP="00466688">
            <w:pPr>
              <w:rPr>
                <w:rFonts w:ascii="Arial" w:hAnsi="Arial" w:cs="Arial"/>
                <w:sz w:val="20"/>
                <w:szCs w:val="20"/>
              </w:rPr>
            </w:pPr>
            <w:r w:rsidRPr="005A4665">
              <w:rPr>
                <w:rFonts w:ascii="Arial" w:hAnsi="Arial" w:cs="Arial"/>
                <w:sz w:val="20"/>
                <w:szCs w:val="20"/>
              </w:rPr>
              <w:t>Tourist uses that support the primary rural uses on the site are limited in scale and do not threaten the viability of traditional rural uses.</w:t>
            </w:r>
          </w:p>
        </w:tc>
        <w:tc>
          <w:tcPr>
            <w:tcW w:w="1372" w:type="pct"/>
            <w:shd w:val="clear" w:color="auto" w:fill="auto"/>
          </w:tcPr>
          <w:p w14:paraId="7C25F0EE" w14:textId="77777777" w:rsidR="00EA4240" w:rsidRPr="005A4665" w:rsidRDefault="00EA4240" w:rsidP="00466688">
            <w:pPr>
              <w:rPr>
                <w:rFonts w:ascii="Arial" w:hAnsi="Arial" w:cs="Arial"/>
                <w:b/>
                <w:sz w:val="20"/>
                <w:szCs w:val="20"/>
              </w:rPr>
            </w:pPr>
            <w:r w:rsidRPr="005A4665">
              <w:rPr>
                <w:rFonts w:ascii="Arial" w:hAnsi="Arial" w:cs="Arial"/>
                <w:b/>
                <w:sz w:val="20"/>
                <w:szCs w:val="20"/>
              </w:rPr>
              <w:t>AO3</w:t>
            </w:r>
          </w:p>
          <w:p w14:paraId="5698E3A7" w14:textId="77777777" w:rsidR="00EA4240" w:rsidRPr="005A4665" w:rsidRDefault="00EA4240" w:rsidP="00466688">
            <w:pPr>
              <w:rPr>
                <w:rFonts w:ascii="Arial" w:hAnsi="Arial" w:cs="Arial"/>
                <w:sz w:val="20"/>
                <w:szCs w:val="20"/>
              </w:rPr>
            </w:pPr>
            <w:r w:rsidRPr="005A4665">
              <w:rPr>
                <w:rFonts w:ascii="Arial" w:hAnsi="Arial" w:cs="Arial"/>
                <w:sz w:val="20"/>
                <w:szCs w:val="20"/>
              </w:rPr>
              <w:t>No acceptable outcome is prescribed.</w:t>
            </w:r>
          </w:p>
        </w:tc>
        <w:tc>
          <w:tcPr>
            <w:tcW w:w="601" w:type="pct"/>
          </w:tcPr>
          <w:p w14:paraId="14FA923B" w14:textId="77777777" w:rsidR="00EA4240" w:rsidRPr="005A4665" w:rsidRDefault="00EA4240" w:rsidP="00466688">
            <w:pPr>
              <w:rPr>
                <w:rFonts w:ascii="Arial" w:hAnsi="Arial" w:cs="Arial"/>
                <w:b/>
                <w:sz w:val="20"/>
                <w:szCs w:val="20"/>
              </w:rPr>
            </w:pPr>
          </w:p>
        </w:tc>
        <w:tc>
          <w:tcPr>
            <w:tcW w:w="1250" w:type="pct"/>
          </w:tcPr>
          <w:p w14:paraId="60892E1B" w14:textId="77777777" w:rsidR="00EA4240" w:rsidRPr="005A4665" w:rsidRDefault="00EA4240" w:rsidP="00466688">
            <w:pPr>
              <w:rPr>
                <w:rFonts w:ascii="Arial" w:hAnsi="Arial" w:cs="Arial"/>
                <w:b/>
                <w:sz w:val="20"/>
                <w:szCs w:val="20"/>
              </w:rPr>
            </w:pPr>
          </w:p>
        </w:tc>
      </w:tr>
      <w:tr w:rsidR="00EA4240" w:rsidRPr="005A4665" w14:paraId="4365E300" w14:textId="2292C231" w:rsidTr="005A4665">
        <w:trPr>
          <w:trHeight w:val="2689"/>
        </w:trPr>
        <w:tc>
          <w:tcPr>
            <w:tcW w:w="1777" w:type="pct"/>
            <w:shd w:val="clear" w:color="auto" w:fill="auto"/>
          </w:tcPr>
          <w:p w14:paraId="5522411A" w14:textId="77777777" w:rsidR="00EA4240" w:rsidRPr="005A4665" w:rsidRDefault="00EA4240" w:rsidP="00466688">
            <w:pPr>
              <w:rPr>
                <w:rFonts w:ascii="Arial" w:hAnsi="Arial" w:cs="Arial"/>
                <w:b/>
                <w:sz w:val="20"/>
                <w:szCs w:val="20"/>
              </w:rPr>
            </w:pPr>
            <w:r w:rsidRPr="005A4665">
              <w:rPr>
                <w:rFonts w:ascii="Arial" w:hAnsi="Arial" w:cs="Arial"/>
                <w:b/>
                <w:sz w:val="20"/>
                <w:szCs w:val="20"/>
              </w:rPr>
              <w:t>PO4</w:t>
            </w:r>
          </w:p>
          <w:p w14:paraId="1E285325" w14:textId="77777777" w:rsidR="00EA4240" w:rsidRPr="005A4665" w:rsidRDefault="00EA4240" w:rsidP="00466688">
            <w:pPr>
              <w:rPr>
                <w:rFonts w:ascii="Arial" w:hAnsi="Arial" w:cs="Arial"/>
                <w:sz w:val="20"/>
                <w:szCs w:val="20"/>
              </w:rPr>
            </w:pPr>
            <w:r w:rsidRPr="005A4665">
              <w:rPr>
                <w:rFonts w:ascii="Arial" w:hAnsi="Arial" w:cs="Arial"/>
                <w:sz w:val="20"/>
                <w:szCs w:val="20"/>
              </w:rPr>
              <w:t>Extractive industry is adequately separated from sensitive land uses to minimise potential for nuisance or complaint.</w:t>
            </w:r>
          </w:p>
        </w:tc>
        <w:tc>
          <w:tcPr>
            <w:tcW w:w="1372" w:type="pct"/>
            <w:shd w:val="clear" w:color="auto" w:fill="auto"/>
          </w:tcPr>
          <w:p w14:paraId="0C0A7DF9" w14:textId="77777777" w:rsidR="00EA4240" w:rsidRPr="005A4665" w:rsidRDefault="00EA4240" w:rsidP="00466688">
            <w:pPr>
              <w:rPr>
                <w:rFonts w:ascii="Arial" w:hAnsi="Arial" w:cs="Arial"/>
                <w:b/>
                <w:sz w:val="20"/>
                <w:szCs w:val="20"/>
              </w:rPr>
            </w:pPr>
            <w:r w:rsidRPr="005A4665">
              <w:rPr>
                <w:rFonts w:ascii="Arial" w:hAnsi="Arial" w:cs="Arial"/>
                <w:b/>
                <w:sz w:val="20"/>
                <w:szCs w:val="20"/>
              </w:rPr>
              <w:t>AO4.1</w:t>
            </w:r>
          </w:p>
          <w:p w14:paraId="098F7088" w14:textId="77777777" w:rsidR="00EA4240" w:rsidRPr="005A4665" w:rsidRDefault="00EA4240" w:rsidP="00466688">
            <w:pPr>
              <w:rPr>
                <w:rFonts w:ascii="Arial" w:hAnsi="Arial" w:cs="Arial"/>
                <w:sz w:val="20"/>
                <w:szCs w:val="20"/>
              </w:rPr>
            </w:pPr>
            <w:r w:rsidRPr="005A4665">
              <w:rPr>
                <w:rFonts w:ascii="Arial" w:hAnsi="Arial" w:cs="Arial"/>
                <w:sz w:val="20"/>
                <w:szCs w:val="20"/>
              </w:rPr>
              <w:t>Residential and other sensitive uses, are not located:</w:t>
            </w:r>
          </w:p>
          <w:p w14:paraId="5EDCD849" w14:textId="77777777" w:rsidR="00EA4240" w:rsidRPr="005A4665" w:rsidRDefault="00EA4240" w:rsidP="00466688">
            <w:pPr>
              <w:numPr>
                <w:ilvl w:val="4"/>
                <w:numId w:val="1"/>
              </w:numPr>
              <w:rPr>
                <w:rFonts w:ascii="Arial" w:hAnsi="Arial" w:cs="Arial"/>
                <w:sz w:val="20"/>
                <w:szCs w:val="20"/>
              </w:rPr>
            </w:pPr>
            <w:r w:rsidRPr="005A4665">
              <w:rPr>
                <w:rFonts w:ascii="Arial" w:hAnsi="Arial" w:cs="Arial"/>
                <w:sz w:val="20"/>
                <w:szCs w:val="20"/>
              </w:rPr>
              <w:t xml:space="preserve">within 200m of mechanical extraction of sedimentary deposits; or </w:t>
            </w:r>
          </w:p>
          <w:p w14:paraId="59626247" w14:textId="77777777" w:rsidR="00EA4240" w:rsidRPr="005A4665" w:rsidRDefault="00EA4240" w:rsidP="00466688">
            <w:pPr>
              <w:numPr>
                <w:ilvl w:val="4"/>
                <w:numId w:val="1"/>
              </w:numPr>
              <w:rPr>
                <w:rFonts w:ascii="Arial" w:hAnsi="Arial" w:cs="Arial"/>
                <w:sz w:val="20"/>
                <w:szCs w:val="20"/>
              </w:rPr>
            </w:pPr>
            <w:r w:rsidRPr="005A4665">
              <w:rPr>
                <w:rFonts w:ascii="Arial" w:hAnsi="Arial" w:cs="Arial"/>
                <w:sz w:val="20"/>
                <w:szCs w:val="20"/>
              </w:rPr>
              <w:t>within 1,000m of hard rock extraction.</w:t>
            </w:r>
          </w:p>
          <w:p w14:paraId="2E611E01" w14:textId="77777777" w:rsidR="00EA4240" w:rsidRPr="005A4665" w:rsidRDefault="00EA4240" w:rsidP="00466688">
            <w:pPr>
              <w:rPr>
                <w:rFonts w:ascii="Arial" w:hAnsi="Arial" w:cs="Arial"/>
                <w:sz w:val="20"/>
                <w:szCs w:val="20"/>
              </w:rPr>
            </w:pPr>
          </w:p>
          <w:p w14:paraId="5EC8C887" w14:textId="77777777" w:rsidR="00EA4240" w:rsidRPr="005A4665" w:rsidRDefault="00EA4240" w:rsidP="00466688">
            <w:pPr>
              <w:rPr>
                <w:rFonts w:ascii="Arial" w:hAnsi="Arial" w:cs="Arial"/>
                <w:b/>
                <w:sz w:val="20"/>
                <w:szCs w:val="20"/>
              </w:rPr>
            </w:pPr>
            <w:r w:rsidRPr="005A4665">
              <w:rPr>
                <w:rFonts w:ascii="Arial" w:hAnsi="Arial" w:cs="Arial"/>
                <w:b/>
                <w:sz w:val="20"/>
                <w:szCs w:val="20"/>
              </w:rPr>
              <w:t>AO4.2</w:t>
            </w:r>
          </w:p>
          <w:p w14:paraId="57C1DDC6" w14:textId="77777777" w:rsidR="00EA4240" w:rsidRPr="005A4665" w:rsidRDefault="00EA4240" w:rsidP="00466688">
            <w:pPr>
              <w:rPr>
                <w:rFonts w:ascii="Arial" w:hAnsi="Arial" w:cs="Arial"/>
                <w:b/>
                <w:sz w:val="20"/>
                <w:szCs w:val="20"/>
              </w:rPr>
            </w:pPr>
            <w:r w:rsidRPr="005A4665">
              <w:rPr>
                <w:rFonts w:ascii="Arial" w:hAnsi="Arial" w:cs="Arial"/>
                <w:sz w:val="20"/>
                <w:szCs w:val="20"/>
              </w:rPr>
              <w:t>New extractive uses and activities are not established within 1,000m of existing sensitive rural, residential or tourist uses</w:t>
            </w:r>
            <w:r w:rsidRPr="005A4665">
              <w:rPr>
                <w:rFonts w:ascii="Arial" w:hAnsi="Arial" w:cs="Arial"/>
                <w:b/>
                <w:sz w:val="20"/>
                <w:szCs w:val="20"/>
              </w:rPr>
              <w:t>.</w:t>
            </w:r>
          </w:p>
        </w:tc>
        <w:tc>
          <w:tcPr>
            <w:tcW w:w="601" w:type="pct"/>
          </w:tcPr>
          <w:p w14:paraId="0B474653" w14:textId="77777777" w:rsidR="00EA4240" w:rsidRPr="005A4665" w:rsidRDefault="00EA4240" w:rsidP="00466688">
            <w:pPr>
              <w:rPr>
                <w:rFonts w:ascii="Arial" w:hAnsi="Arial" w:cs="Arial"/>
                <w:b/>
                <w:sz w:val="20"/>
                <w:szCs w:val="20"/>
              </w:rPr>
            </w:pPr>
          </w:p>
        </w:tc>
        <w:tc>
          <w:tcPr>
            <w:tcW w:w="1250" w:type="pct"/>
          </w:tcPr>
          <w:p w14:paraId="73308619" w14:textId="77777777" w:rsidR="00EA4240" w:rsidRPr="005A4665" w:rsidRDefault="00EA4240" w:rsidP="00466688">
            <w:pPr>
              <w:rPr>
                <w:rFonts w:ascii="Arial" w:hAnsi="Arial" w:cs="Arial"/>
                <w:b/>
                <w:sz w:val="20"/>
                <w:szCs w:val="20"/>
              </w:rPr>
            </w:pPr>
          </w:p>
        </w:tc>
      </w:tr>
      <w:tr w:rsidR="00EA4240" w:rsidRPr="005A4665" w14:paraId="29E81FDB" w14:textId="500EA016" w:rsidTr="005A4665">
        <w:tc>
          <w:tcPr>
            <w:tcW w:w="1777" w:type="pct"/>
            <w:shd w:val="clear" w:color="auto" w:fill="auto"/>
          </w:tcPr>
          <w:p w14:paraId="36C24A52" w14:textId="77777777" w:rsidR="00EA4240" w:rsidRPr="005A4665" w:rsidRDefault="00EA4240" w:rsidP="00466688">
            <w:pPr>
              <w:rPr>
                <w:rFonts w:ascii="Arial" w:hAnsi="Arial" w:cs="Arial"/>
                <w:b/>
                <w:sz w:val="20"/>
                <w:szCs w:val="20"/>
              </w:rPr>
            </w:pPr>
            <w:r w:rsidRPr="005A4665">
              <w:rPr>
                <w:rFonts w:ascii="Arial" w:hAnsi="Arial" w:cs="Arial"/>
                <w:b/>
                <w:sz w:val="20"/>
                <w:szCs w:val="20"/>
              </w:rPr>
              <w:lastRenderedPageBreak/>
              <w:t xml:space="preserve">PO5 </w:t>
            </w:r>
          </w:p>
          <w:p w14:paraId="56AA0507" w14:textId="77777777" w:rsidR="00EA4240" w:rsidRPr="005A4665" w:rsidRDefault="00EA4240" w:rsidP="00466688">
            <w:pPr>
              <w:rPr>
                <w:rFonts w:ascii="Arial" w:hAnsi="Arial" w:cs="Arial"/>
                <w:sz w:val="20"/>
                <w:szCs w:val="20"/>
              </w:rPr>
            </w:pPr>
            <w:r w:rsidRPr="005A4665">
              <w:rPr>
                <w:rFonts w:ascii="Arial" w:hAnsi="Arial" w:cs="Arial"/>
                <w:sz w:val="20"/>
                <w:szCs w:val="20"/>
              </w:rPr>
              <w:t>Development is connected to an appropriate level of infrastructure services.</w:t>
            </w:r>
          </w:p>
          <w:p w14:paraId="538FC432" w14:textId="77777777" w:rsidR="00EA4240" w:rsidRPr="005A4665" w:rsidRDefault="00EA4240" w:rsidP="00466688">
            <w:pPr>
              <w:rPr>
                <w:rFonts w:ascii="Arial" w:hAnsi="Arial" w:cs="Arial"/>
                <w:sz w:val="20"/>
                <w:szCs w:val="20"/>
              </w:rPr>
            </w:pPr>
          </w:p>
        </w:tc>
        <w:tc>
          <w:tcPr>
            <w:tcW w:w="1372" w:type="pct"/>
            <w:shd w:val="clear" w:color="auto" w:fill="auto"/>
          </w:tcPr>
          <w:p w14:paraId="4D668628" w14:textId="77777777" w:rsidR="00EA4240" w:rsidRPr="005A4665" w:rsidRDefault="00EA4240" w:rsidP="00466688">
            <w:pPr>
              <w:rPr>
                <w:rFonts w:ascii="Arial" w:hAnsi="Arial" w:cs="Arial"/>
                <w:b/>
                <w:sz w:val="20"/>
                <w:szCs w:val="20"/>
              </w:rPr>
            </w:pPr>
            <w:r w:rsidRPr="005A4665">
              <w:rPr>
                <w:rFonts w:ascii="Arial" w:hAnsi="Arial" w:cs="Arial"/>
                <w:b/>
                <w:sz w:val="20"/>
                <w:szCs w:val="20"/>
              </w:rPr>
              <w:t>AO5.1</w:t>
            </w:r>
          </w:p>
          <w:p w14:paraId="71359E1F" w14:textId="77777777" w:rsidR="00EA4240" w:rsidRPr="005A4665" w:rsidRDefault="00EA4240" w:rsidP="00466688">
            <w:pPr>
              <w:rPr>
                <w:rFonts w:ascii="Arial" w:hAnsi="Arial" w:cs="Arial"/>
                <w:b/>
                <w:sz w:val="20"/>
                <w:szCs w:val="20"/>
              </w:rPr>
            </w:pPr>
            <w:r w:rsidRPr="005A4665">
              <w:rPr>
                <w:rFonts w:ascii="Arial" w:hAnsi="Arial" w:cs="Arial"/>
                <w:sz w:val="20"/>
                <w:szCs w:val="20"/>
              </w:rPr>
              <w:t>Development has formal and safe access to the existing road network.</w:t>
            </w:r>
          </w:p>
          <w:p w14:paraId="30FFF330" w14:textId="77777777" w:rsidR="00EA4240" w:rsidRPr="005A4665" w:rsidRDefault="00EA4240" w:rsidP="00466688">
            <w:pPr>
              <w:rPr>
                <w:rFonts w:ascii="Arial" w:hAnsi="Arial" w:cs="Arial"/>
                <w:b/>
                <w:sz w:val="20"/>
                <w:szCs w:val="20"/>
              </w:rPr>
            </w:pPr>
          </w:p>
          <w:p w14:paraId="66214FE0" w14:textId="77777777" w:rsidR="00EA4240" w:rsidRPr="005A4665" w:rsidRDefault="00EA4240" w:rsidP="00466688">
            <w:pPr>
              <w:rPr>
                <w:rFonts w:ascii="Arial" w:hAnsi="Arial" w:cs="Arial"/>
                <w:b/>
                <w:sz w:val="20"/>
                <w:szCs w:val="20"/>
              </w:rPr>
            </w:pPr>
            <w:r w:rsidRPr="005A4665">
              <w:rPr>
                <w:rFonts w:ascii="Arial" w:hAnsi="Arial" w:cs="Arial"/>
                <w:b/>
                <w:sz w:val="20"/>
                <w:szCs w:val="20"/>
              </w:rPr>
              <w:t>AO5.2</w:t>
            </w:r>
          </w:p>
          <w:p w14:paraId="2702439B" w14:textId="77777777" w:rsidR="00EA4240" w:rsidRPr="005A4665" w:rsidRDefault="00EA4240" w:rsidP="00466688">
            <w:pPr>
              <w:rPr>
                <w:rFonts w:ascii="Arial" w:hAnsi="Arial" w:cs="Arial"/>
                <w:sz w:val="20"/>
                <w:szCs w:val="20"/>
              </w:rPr>
            </w:pPr>
            <w:r w:rsidRPr="005A4665">
              <w:rPr>
                <w:rFonts w:ascii="Arial" w:hAnsi="Arial" w:cs="Arial"/>
                <w:sz w:val="20"/>
                <w:szCs w:val="20"/>
              </w:rPr>
              <w:t>Development is connected to a reticulated water supply and sewerage system, or alternatively an on-site water storage and a waste disposal system is provided which does not overflow to adjoining properties or detract from environmental values.</w:t>
            </w:r>
          </w:p>
          <w:p w14:paraId="1CE8551F" w14:textId="77777777" w:rsidR="00EA4240" w:rsidRPr="005A4665" w:rsidRDefault="00EA4240" w:rsidP="00466688">
            <w:pPr>
              <w:rPr>
                <w:rFonts w:ascii="Arial" w:hAnsi="Arial" w:cs="Arial"/>
                <w:b/>
                <w:sz w:val="20"/>
                <w:szCs w:val="20"/>
              </w:rPr>
            </w:pPr>
            <w:r w:rsidRPr="005A4665">
              <w:rPr>
                <w:rFonts w:ascii="Arial" w:hAnsi="Arial" w:cs="Arial"/>
                <w:b/>
                <w:sz w:val="20"/>
                <w:szCs w:val="20"/>
              </w:rPr>
              <w:t>AO5.3</w:t>
            </w:r>
          </w:p>
          <w:p w14:paraId="18164880" w14:textId="77777777" w:rsidR="00EA4240" w:rsidRPr="005A4665" w:rsidRDefault="00EA4240" w:rsidP="00466688">
            <w:pPr>
              <w:rPr>
                <w:rFonts w:ascii="Arial" w:hAnsi="Arial" w:cs="Arial"/>
                <w:b/>
                <w:sz w:val="20"/>
                <w:szCs w:val="20"/>
              </w:rPr>
            </w:pPr>
            <w:r w:rsidRPr="005A4665">
              <w:rPr>
                <w:rFonts w:ascii="Arial" w:hAnsi="Arial" w:cs="Arial"/>
                <w:sz w:val="20"/>
                <w:szCs w:val="20"/>
              </w:rPr>
              <w:t>The development is connected to electricity or an alternative renewable energy source and telecommunications.</w:t>
            </w:r>
          </w:p>
        </w:tc>
        <w:tc>
          <w:tcPr>
            <w:tcW w:w="601" w:type="pct"/>
          </w:tcPr>
          <w:p w14:paraId="646704C7" w14:textId="77777777" w:rsidR="00EA4240" w:rsidRPr="005A4665" w:rsidRDefault="00EA4240" w:rsidP="00466688">
            <w:pPr>
              <w:rPr>
                <w:rFonts w:ascii="Arial" w:hAnsi="Arial" w:cs="Arial"/>
                <w:b/>
                <w:sz w:val="20"/>
                <w:szCs w:val="20"/>
              </w:rPr>
            </w:pPr>
          </w:p>
        </w:tc>
        <w:tc>
          <w:tcPr>
            <w:tcW w:w="1250" w:type="pct"/>
          </w:tcPr>
          <w:p w14:paraId="5C20599C" w14:textId="77777777" w:rsidR="00EA4240" w:rsidRPr="005A4665" w:rsidRDefault="00EA4240" w:rsidP="00466688">
            <w:pPr>
              <w:rPr>
                <w:rFonts w:ascii="Arial" w:hAnsi="Arial" w:cs="Arial"/>
                <w:b/>
                <w:sz w:val="20"/>
                <w:szCs w:val="20"/>
              </w:rPr>
            </w:pPr>
          </w:p>
        </w:tc>
      </w:tr>
      <w:tr w:rsidR="00EA4240" w:rsidRPr="005A4665" w14:paraId="16244EEA" w14:textId="4A9EB64A" w:rsidTr="005A4665">
        <w:trPr>
          <w:trHeight w:val="1648"/>
        </w:trPr>
        <w:tc>
          <w:tcPr>
            <w:tcW w:w="1777" w:type="pct"/>
            <w:shd w:val="clear" w:color="auto" w:fill="auto"/>
          </w:tcPr>
          <w:p w14:paraId="491AE7BB" w14:textId="77777777" w:rsidR="00EA4240" w:rsidRPr="005A4665" w:rsidRDefault="00EA4240" w:rsidP="00466688">
            <w:pPr>
              <w:rPr>
                <w:rFonts w:ascii="Arial" w:hAnsi="Arial" w:cs="Arial"/>
                <w:b/>
                <w:sz w:val="20"/>
                <w:szCs w:val="20"/>
              </w:rPr>
            </w:pPr>
            <w:r w:rsidRPr="005A4665">
              <w:rPr>
                <w:rFonts w:ascii="Arial" w:hAnsi="Arial" w:cs="Arial"/>
                <w:b/>
                <w:sz w:val="20"/>
                <w:szCs w:val="20"/>
              </w:rPr>
              <w:t>PO6</w:t>
            </w:r>
          </w:p>
          <w:p w14:paraId="2838BC3D" w14:textId="77777777" w:rsidR="00EA4240" w:rsidRPr="005A4665" w:rsidRDefault="00EA4240" w:rsidP="00466688">
            <w:pPr>
              <w:rPr>
                <w:rFonts w:ascii="Arial" w:hAnsi="Arial" w:cs="Arial"/>
                <w:sz w:val="20"/>
                <w:szCs w:val="20"/>
              </w:rPr>
            </w:pPr>
            <w:r w:rsidRPr="005A4665">
              <w:rPr>
                <w:rFonts w:ascii="Arial" w:hAnsi="Arial" w:cs="Arial"/>
                <w:sz w:val="20"/>
                <w:szCs w:val="20"/>
              </w:rPr>
              <w:t>Development is located to protect sensitive land uses from the impacts of previous activities that may cause risk to people or property including land containing former mining activities and hazards e.g. disused underground mines, tunnels and shafts.</w:t>
            </w:r>
          </w:p>
          <w:p w14:paraId="239A38B1" w14:textId="77777777" w:rsidR="00EA4240" w:rsidRPr="005A4665" w:rsidRDefault="00EA4240" w:rsidP="00466688">
            <w:pPr>
              <w:rPr>
                <w:rFonts w:ascii="Arial" w:hAnsi="Arial" w:cs="Arial"/>
                <w:sz w:val="20"/>
                <w:szCs w:val="20"/>
              </w:rPr>
            </w:pPr>
            <w:r w:rsidRPr="005A4665">
              <w:rPr>
                <w:rFonts w:ascii="Arial" w:hAnsi="Arial" w:cs="Arial"/>
                <w:b/>
                <w:sz w:val="20"/>
                <w:szCs w:val="20"/>
              </w:rPr>
              <w:t>Note</w:t>
            </w:r>
            <w:r w:rsidRPr="005A4665">
              <w:rPr>
                <w:rFonts w:ascii="Arial" w:hAnsi="Arial" w:cs="Arial"/>
                <w:sz w:val="20"/>
                <w:szCs w:val="20"/>
              </w:rPr>
              <w:t xml:space="preserve">: A geotechnical assessment report prepared by a suitably qualified and experienced person will assist in demonstrating the achievement of the performance outcome where a possible risk from former mining activities is identified through local knowledge, a pre-development ground inspection, </w:t>
            </w:r>
            <w:r w:rsidRPr="005A4665">
              <w:rPr>
                <w:rFonts w:ascii="Arial" w:hAnsi="Arial" w:cs="Arial"/>
                <w:sz w:val="20"/>
                <w:szCs w:val="20"/>
                <w:u w:val="single"/>
              </w:rPr>
              <w:lastRenderedPageBreak/>
              <w:t>Schedule 4 – Online Mapping Resources – Mines Online Maps</w:t>
            </w:r>
            <w:r w:rsidRPr="005A4665">
              <w:rPr>
                <w:rFonts w:ascii="Arial" w:hAnsi="Arial" w:cs="Arial"/>
                <w:sz w:val="20"/>
                <w:szCs w:val="20"/>
              </w:rPr>
              <w:t>, or other sources.</w:t>
            </w:r>
          </w:p>
        </w:tc>
        <w:tc>
          <w:tcPr>
            <w:tcW w:w="1372" w:type="pct"/>
            <w:shd w:val="clear" w:color="auto" w:fill="auto"/>
          </w:tcPr>
          <w:p w14:paraId="6E7DB18B" w14:textId="77777777" w:rsidR="00EA4240" w:rsidRPr="005A4665" w:rsidRDefault="00EA4240" w:rsidP="00466688">
            <w:pPr>
              <w:rPr>
                <w:rFonts w:ascii="Arial" w:hAnsi="Arial" w:cs="Arial"/>
                <w:b/>
                <w:sz w:val="20"/>
                <w:szCs w:val="20"/>
              </w:rPr>
            </w:pPr>
            <w:r w:rsidRPr="005A4665">
              <w:rPr>
                <w:rFonts w:ascii="Arial" w:hAnsi="Arial" w:cs="Arial"/>
                <w:b/>
                <w:sz w:val="20"/>
                <w:szCs w:val="20"/>
              </w:rPr>
              <w:lastRenderedPageBreak/>
              <w:t>AO6</w:t>
            </w:r>
          </w:p>
          <w:p w14:paraId="67111A21" w14:textId="77777777" w:rsidR="00EA4240" w:rsidRPr="005A4665" w:rsidRDefault="00EA4240" w:rsidP="00466688">
            <w:pPr>
              <w:rPr>
                <w:rFonts w:ascii="Arial" w:hAnsi="Arial" w:cs="Arial"/>
                <w:b/>
                <w:sz w:val="20"/>
                <w:szCs w:val="20"/>
              </w:rPr>
            </w:pPr>
            <w:r w:rsidRPr="005A4665">
              <w:rPr>
                <w:rFonts w:ascii="Arial" w:hAnsi="Arial" w:cs="Arial"/>
                <w:sz w:val="20"/>
                <w:szCs w:val="20"/>
              </w:rPr>
              <w:t>No acceptable outcome is prescribed.</w:t>
            </w:r>
          </w:p>
        </w:tc>
        <w:tc>
          <w:tcPr>
            <w:tcW w:w="601" w:type="pct"/>
          </w:tcPr>
          <w:p w14:paraId="2E5DC51C" w14:textId="77777777" w:rsidR="00EA4240" w:rsidRPr="005A4665" w:rsidRDefault="00EA4240" w:rsidP="00466688">
            <w:pPr>
              <w:rPr>
                <w:rFonts w:ascii="Arial" w:hAnsi="Arial" w:cs="Arial"/>
                <w:b/>
                <w:sz w:val="20"/>
                <w:szCs w:val="20"/>
              </w:rPr>
            </w:pPr>
          </w:p>
        </w:tc>
        <w:tc>
          <w:tcPr>
            <w:tcW w:w="1250" w:type="pct"/>
          </w:tcPr>
          <w:p w14:paraId="45C41E02" w14:textId="77777777" w:rsidR="00EA4240" w:rsidRPr="005A4665" w:rsidRDefault="00EA4240" w:rsidP="00466688">
            <w:pPr>
              <w:rPr>
                <w:rFonts w:ascii="Arial" w:hAnsi="Arial" w:cs="Arial"/>
                <w:b/>
                <w:sz w:val="20"/>
                <w:szCs w:val="20"/>
              </w:rPr>
            </w:pPr>
          </w:p>
        </w:tc>
      </w:tr>
      <w:tr w:rsidR="00EA4240" w:rsidRPr="005A4665" w14:paraId="753B5508" w14:textId="4DCCF694" w:rsidTr="005A4665">
        <w:trPr>
          <w:trHeight w:val="1648"/>
        </w:trPr>
        <w:tc>
          <w:tcPr>
            <w:tcW w:w="1777" w:type="pct"/>
            <w:shd w:val="clear" w:color="auto" w:fill="auto"/>
          </w:tcPr>
          <w:p w14:paraId="09F42234" w14:textId="77777777" w:rsidR="00EA4240" w:rsidRPr="005A4665" w:rsidRDefault="00EA4240" w:rsidP="00466688">
            <w:pPr>
              <w:rPr>
                <w:rFonts w:ascii="Arial" w:hAnsi="Arial" w:cs="Arial"/>
                <w:b/>
                <w:sz w:val="20"/>
                <w:szCs w:val="20"/>
              </w:rPr>
            </w:pPr>
            <w:r w:rsidRPr="005A4665">
              <w:rPr>
                <w:rFonts w:ascii="Arial" w:hAnsi="Arial" w:cs="Arial"/>
                <w:b/>
                <w:sz w:val="20"/>
                <w:szCs w:val="20"/>
              </w:rPr>
              <w:t>PO7</w:t>
            </w:r>
          </w:p>
          <w:p w14:paraId="75D0EB65" w14:textId="77777777" w:rsidR="00EA4240" w:rsidRPr="005A4665" w:rsidRDefault="00EA4240" w:rsidP="00466688">
            <w:pPr>
              <w:rPr>
                <w:rFonts w:ascii="Arial" w:hAnsi="Arial" w:cs="Arial"/>
                <w:sz w:val="20"/>
                <w:szCs w:val="20"/>
              </w:rPr>
            </w:pPr>
            <w:r w:rsidRPr="005A4665">
              <w:rPr>
                <w:rFonts w:ascii="Arial" w:hAnsi="Arial" w:cs="Arial"/>
                <w:sz w:val="20"/>
                <w:szCs w:val="20"/>
              </w:rPr>
              <w:t>Renewable energy facilities are located and designed to avoid adverse impacts on sensitive uses including impacts on privacy, safety, noise, odour and fumes by lighting and traffic generation.</w:t>
            </w:r>
          </w:p>
        </w:tc>
        <w:tc>
          <w:tcPr>
            <w:tcW w:w="1372" w:type="pct"/>
            <w:shd w:val="clear" w:color="auto" w:fill="auto"/>
          </w:tcPr>
          <w:p w14:paraId="6AE37EF8" w14:textId="77777777" w:rsidR="00EA4240" w:rsidRPr="005A4665" w:rsidRDefault="00EA4240" w:rsidP="00466688">
            <w:pPr>
              <w:rPr>
                <w:rFonts w:ascii="Arial" w:hAnsi="Arial" w:cs="Arial"/>
                <w:b/>
                <w:sz w:val="20"/>
                <w:szCs w:val="20"/>
              </w:rPr>
            </w:pPr>
            <w:r w:rsidRPr="005A4665">
              <w:rPr>
                <w:rFonts w:ascii="Arial" w:hAnsi="Arial" w:cs="Arial"/>
                <w:b/>
                <w:sz w:val="20"/>
                <w:szCs w:val="20"/>
              </w:rPr>
              <w:t>AO7</w:t>
            </w:r>
          </w:p>
          <w:p w14:paraId="348AE4E8" w14:textId="77777777" w:rsidR="00EA4240" w:rsidRPr="005A4665" w:rsidRDefault="00EA4240" w:rsidP="00466688">
            <w:pPr>
              <w:rPr>
                <w:rFonts w:ascii="Arial" w:hAnsi="Arial" w:cs="Arial"/>
                <w:sz w:val="20"/>
                <w:szCs w:val="20"/>
              </w:rPr>
            </w:pPr>
            <w:r w:rsidRPr="005A4665">
              <w:rPr>
                <w:rFonts w:ascii="Arial" w:hAnsi="Arial" w:cs="Arial"/>
                <w:sz w:val="20"/>
                <w:szCs w:val="20"/>
              </w:rPr>
              <w:t>No acceptable outcome is prescribed.</w:t>
            </w:r>
          </w:p>
          <w:p w14:paraId="4F7C7903" w14:textId="77777777" w:rsidR="00EA4240" w:rsidRPr="005A4665" w:rsidRDefault="00EA4240" w:rsidP="00466688">
            <w:pPr>
              <w:rPr>
                <w:rFonts w:ascii="Arial" w:hAnsi="Arial" w:cs="Arial"/>
                <w:b/>
                <w:sz w:val="20"/>
                <w:szCs w:val="20"/>
              </w:rPr>
            </w:pPr>
          </w:p>
        </w:tc>
        <w:tc>
          <w:tcPr>
            <w:tcW w:w="601" w:type="pct"/>
          </w:tcPr>
          <w:p w14:paraId="148D53F9" w14:textId="77777777" w:rsidR="00EA4240" w:rsidRPr="005A4665" w:rsidRDefault="00EA4240" w:rsidP="00466688">
            <w:pPr>
              <w:rPr>
                <w:rFonts w:ascii="Arial" w:hAnsi="Arial" w:cs="Arial"/>
                <w:b/>
                <w:sz w:val="20"/>
                <w:szCs w:val="20"/>
              </w:rPr>
            </w:pPr>
          </w:p>
        </w:tc>
        <w:tc>
          <w:tcPr>
            <w:tcW w:w="1250" w:type="pct"/>
          </w:tcPr>
          <w:p w14:paraId="4B1C6202" w14:textId="77777777" w:rsidR="00EA4240" w:rsidRPr="005A4665" w:rsidRDefault="00EA4240" w:rsidP="00466688">
            <w:pPr>
              <w:rPr>
                <w:rFonts w:ascii="Arial" w:hAnsi="Arial" w:cs="Arial"/>
                <w:b/>
                <w:sz w:val="20"/>
                <w:szCs w:val="20"/>
              </w:rPr>
            </w:pPr>
          </w:p>
        </w:tc>
      </w:tr>
    </w:tbl>
    <w:p w14:paraId="3AA0C966" w14:textId="77777777" w:rsidR="006E5BFF" w:rsidRDefault="006E5BFF"/>
    <w:sectPr w:rsidR="006E5BFF" w:rsidSect="00EC1BB0">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FBAD" w14:textId="77777777" w:rsidR="00DE34E4" w:rsidRDefault="00DE34E4" w:rsidP="00EC1BB0">
      <w:pPr>
        <w:spacing w:after="0" w:line="240" w:lineRule="auto"/>
      </w:pPr>
      <w:r>
        <w:separator/>
      </w:r>
    </w:p>
  </w:endnote>
  <w:endnote w:type="continuationSeparator" w:id="0">
    <w:p w14:paraId="16AC1CF6" w14:textId="77777777" w:rsidR="00DE34E4" w:rsidRDefault="00DE34E4" w:rsidP="00EC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7DAB" w14:textId="77777777" w:rsidR="00DE34E4" w:rsidRDefault="00DE34E4" w:rsidP="00EC1BB0">
      <w:pPr>
        <w:spacing w:after="0" w:line="240" w:lineRule="auto"/>
      </w:pPr>
      <w:r>
        <w:separator/>
      </w:r>
    </w:p>
  </w:footnote>
  <w:footnote w:type="continuationSeparator" w:id="0">
    <w:p w14:paraId="2203499D" w14:textId="77777777" w:rsidR="00DE34E4" w:rsidRDefault="00DE34E4" w:rsidP="00EC1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9067" w14:textId="2F80BBFD" w:rsidR="00EC1BB0" w:rsidRDefault="00EC1BB0">
    <w:pPr>
      <w:pStyle w:val="Header"/>
    </w:pPr>
    <w:r w:rsidRPr="003F21D2">
      <w:rPr>
        <w:noProof/>
      </w:rPr>
      <w:drawing>
        <wp:anchor distT="0" distB="0" distL="114300" distR="114300" simplePos="0" relativeHeight="251659264" behindDoc="1" locked="0" layoutInCell="1" allowOverlap="1" wp14:anchorId="78B8973F" wp14:editId="2A23ECDA">
          <wp:simplePos x="0" y="0"/>
          <wp:positionH relativeFrom="column">
            <wp:posOffset>-923925</wp:posOffset>
          </wp:positionH>
          <wp:positionV relativeFrom="paragraph">
            <wp:posOffset>-438785</wp:posOffset>
          </wp:positionV>
          <wp:extent cx="10696575" cy="10857865"/>
          <wp:effectExtent l="0" t="0" r="9525" b="635"/>
          <wp:wrapNone/>
          <wp:docPr id="29" name="Picture 29"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D432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6892D05"/>
    <w:multiLevelType w:val="hybridMultilevel"/>
    <w:tmpl w:val="9D08D3FA"/>
    <w:lvl w:ilvl="0" w:tplc="25A81CD8">
      <w:start w:val="1"/>
      <w:numFmt w:val="decimal"/>
      <w:lvlText w:val="(%1)"/>
      <w:lvlJc w:val="left"/>
      <w:pPr>
        <w:tabs>
          <w:tab w:val="num" w:pos="567"/>
        </w:tabs>
        <w:ind w:left="567" w:hanging="567"/>
      </w:pPr>
      <w:rPr>
        <w:rFonts w:hint="default"/>
      </w:rPr>
    </w:lvl>
    <w:lvl w:ilvl="1" w:tplc="ED186466">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91404103">
    <w:abstractNumId w:val="0"/>
  </w:num>
  <w:num w:numId="2" w16cid:durableId="143670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88"/>
    <w:rsid w:val="00331CE3"/>
    <w:rsid w:val="00466688"/>
    <w:rsid w:val="005A4665"/>
    <w:rsid w:val="00675524"/>
    <w:rsid w:val="006E5BFF"/>
    <w:rsid w:val="00DD31B7"/>
    <w:rsid w:val="00DE34E4"/>
    <w:rsid w:val="00EA4240"/>
    <w:rsid w:val="00EC1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A7FC"/>
  <w15:chartTrackingRefBased/>
  <w15:docId w15:val="{8144FBC3-16C8-4387-9AA7-0FEDC78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6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88"/>
    <w:rPr>
      <w:color w:val="0563C1" w:themeColor="hyperlink"/>
      <w:u w:val="single"/>
    </w:rPr>
  </w:style>
  <w:style w:type="character" w:styleId="UnresolvedMention">
    <w:name w:val="Unresolved Mention"/>
    <w:basedOn w:val="DefaultParagraphFont"/>
    <w:uiPriority w:val="99"/>
    <w:semiHidden/>
    <w:unhideWhenUsed/>
    <w:rsid w:val="00466688"/>
    <w:rPr>
      <w:color w:val="605E5C"/>
      <w:shd w:val="clear" w:color="auto" w:fill="E1DFDD"/>
    </w:rPr>
  </w:style>
  <w:style w:type="character" w:customStyle="1" w:styleId="Heading1Char">
    <w:name w:val="Heading 1 Char"/>
    <w:basedOn w:val="DefaultParagraphFont"/>
    <w:link w:val="Heading1"/>
    <w:uiPriority w:val="9"/>
    <w:rsid w:val="004666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C1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BB0"/>
  </w:style>
  <w:style w:type="paragraph" w:styleId="Footer">
    <w:name w:val="footer"/>
    <w:basedOn w:val="Normal"/>
    <w:link w:val="FooterChar"/>
    <w:uiPriority w:val="99"/>
    <w:unhideWhenUsed/>
    <w:rsid w:val="00EC1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p.dsdip.esriaustraliaonline.com.au/geoviewer/map/pla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Danielle Pearn</cp:lastModifiedBy>
  <cp:revision>7</cp:revision>
  <dcterms:created xsi:type="dcterms:W3CDTF">2022-03-23T05:33:00Z</dcterms:created>
  <dcterms:modified xsi:type="dcterms:W3CDTF">2022-04-28T22:15:00Z</dcterms:modified>
</cp:coreProperties>
</file>