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2083" w14:textId="77777777" w:rsidR="004303FB" w:rsidRDefault="004303FB" w:rsidP="00587DAC">
      <w:pPr>
        <w:pStyle w:val="Heading1"/>
      </w:pPr>
    </w:p>
    <w:p w14:paraId="0E1BF768" w14:textId="612CF391" w:rsidR="00587DAC" w:rsidRPr="00305335" w:rsidRDefault="00587DAC" w:rsidP="00587DAC">
      <w:pPr>
        <w:pStyle w:val="Heading1"/>
        <w:rPr>
          <w:rFonts w:ascii="Arial" w:hAnsi="Arial" w:cs="Arial"/>
          <w:b/>
          <w:bCs/>
          <w:color w:val="00B0F0"/>
        </w:rPr>
      </w:pPr>
      <w:r w:rsidRPr="00305335">
        <w:rPr>
          <w:rFonts w:ascii="Arial" w:hAnsi="Arial" w:cs="Arial"/>
          <w:b/>
          <w:bCs/>
          <w:color w:val="00B0F0"/>
        </w:rPr>
        <w:t>6.2.4 Recreation and open space zone code</w:t>
      </w:r>
    </w:p>
    <w:p w14:paraId="1488E170" w14:textId="77777777" w:rsidR="004303FB" w:rsidRPr="004303FB" w:rsidRDefault="004303FB" w:rsidP="004303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3119"/>
        <w:gridCol w:w="1967"/>
        <w:gridCol w:w="3481"/>
      </w:tblGrid>
      <w:tr w:rsidR="00017E87" w:rsidRPr="00305335" w14:paraId="2C6E9B73" w14:textId="41B4B97D" w:rsidTr="00305335">
        <w:tc>
          <w:tcPr>
            <w:tcW w:w="1929" w:type="pct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7ADF325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Performance outcomes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755AA2E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Acceptable outcomes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C7F334C" w14:textId="07CE3D8D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D3CB618" w14:textId="3209FE6A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Justification for Compliance</w:t>
            </w:r>
            <w:r w:rsidR="00330D4C">
              <w:rPr>
                <w:rFonts w:ascii="Arial" w:hAnsi="Arial" w:cs="Arial"/>
                <w:b/>
                <w:sz w:val="20"/>
                <w:szCs w:val="20"/>
              </w:rPr>
              <w:t xml:space="preserve"> or Alternative Solution to achieve compliance </w:t>
            </w:r>
          </w:p>
        </w:tc>
      </w:tr>
      <w:tr w:rsidR="00017E87" w:rsidRPr="00305335" w14:paraId="1C76D313" w14:textId="11EEE84F" w:rsidTr="00305335">
        <w:tc>
          <w:tcPr>
            <w:tcW w:w="3047" w:type="pct"/>
            <w:gridSpan w:val="2"/>
            <w:shd w:val="clear" w:color="auto" w:fill="9CC2E5" w:themeFill="accent5" w:themeFillTint="99"/>
          </w:tcPr>
          <w:p w14:paraId="2A4E649E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For assessable development</w:t>
            </w:r>
          </w:p>
        </w:tc>
        <w:tc>
          <w:tcPr>
            <w:tcW w:w="705" w:type="pct"/>
            <w:shd w:val="clear" w:color="auto" w:fill="9CC2E5" w:themeFill="accent5" w:themeFillTint="99"/>
          </w:tcPr>
          <w:p w14:paraId="4745BF0D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9CC2E5" w:themeFill="accent5" w:themeFillTint="99"/>
          </w:tcPr>
          <w:p w14:paraId="1552DEB1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E87" w:rsidRPr="00305335" w14:paraId="206B305E" w14:textId="72DDD057" w:rsidTr="00305335">
        <w:tc>
          <w:tcPr>
            <w:tcW w:w="1929" w:type="pct"/>
            <w:shd w:val="clear" w:color="auto" w:fill="auto"/>
          </w:tcPr>
          <w:p w14:paraId="158C32EE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PO1</w:t>
            </w:r>
          </w:p>
          <w:p w14:paraId="3E8AA2B0" w14:textId="77777777" w:rsidR="00017E87" w:rsidRPr="00305335" w:rsidRDefault="00017E87" w:rsidP="00587DAC">
            <w:p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 xml:space="preserve">Buildings and other works are consistent with the scale of buildings in the area and do not adversely impact on the visual amenity of the area. </w:t>
            </w:r>
          </w:p>
        </w:tc>
        <w:tc>
          <w:tcPr>
            <w:tcW w:w="1118" w:type="pct"/>
            <w:shd w:val="clear" w:color="auto" w:fill="auto"/>
          </w:tcPr>
          <w:p w14:paraId="679005B0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AO1</w:t>
            </w:r>
          </w:p>
          <w:p w14:paraId="1B372348" w14:textId="77777777" w:rsidR="00017E87" w:rsidRPr="00305335" w:rsidRDefault="00017E87" w:rsidP="00587DAC">
            <w:p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 xml:space="preserve">A building or other structure does not exceed 4.5m in height. </w:t>
            </w:r>
          </w:p>
          <w:p w14:paraId="2D513BAD" w14:textId="77777777" w:rsidR="00017E87" w:rsidRPr="00305335" w:rsidRDefault="00017E87" w:rsidP="00587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14:paraId="164E5BF6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pct"/>
          </w:tcPr>
          <w:p w14:paraId="428E7F0F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E87" w:rsidRPr="00305335" w14:paraId="354D5A96" w14:textId="47DDF030" w:rsidTr="00305335">
        <w:trPr>
          <w:trHeight w:val="1328"/>
        </w:trPr>
        <w:tc>
          <w:tcPr>
            <w:tcW w:w="1929" w:type="pct"/>
            <w:shd w:val="clear" w:color="auto" w:fill="auto"/>
          </w:tcPr>
          <w:p w14:paraId="4B2B5BCB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PO2</w:t>
            </w:r>
          </w:p>
          <w:p w14:paraId="596D45D3" w14:textId="77777777" w:rsidR="00017E87" w:rsidRPr="00305335" w:rsidRDefault="00017E87" w:rsidP="00587DAC">
            <w:p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 xml:space="preserve">Development is compatible with the environmental, open space and recreation values of the zone (including MSES and important protected areas of ecological significance). </w:t>
            </w:r>
          </w:p>
        </w:tc>
        <w:tc>
          <w:tcPr>
            <w:tcW w:w="1118" w:type="pct"/>
            <w:shd w:val="clear" w:color="auto" w:fill="auto"/>
          </w:tcPr>
          <w:p w14:paraId="501C89A4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AO2</w:t>
            </w:r>
          </w:p>
          <w:p w14:paraId="71D9382F" w14:textId="77777777" w:rsidR="00017E87" w:rsidRPr="00305335" w:rsidRDefault="00017E87" w:rsidP="00587DAC">
            <w:p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>No acceptable outcome is prescribed.</w:t>
            </w:r>
          </w:p>
        </w:tc>
        <w:tc>
          <w:tcPr>
            <w:tcW w:w="705" w:type="pct"/>
          </w:tcPr>
          <w:p w14:paraId="1BE674C0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pct"/>
          </w:tcPr>
          <w:p w14:paraId="2854331C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E87" w:rsidRPr="00305335" w14:paraId="22CC38B6" w14:textId="3628B5E3" w:rsidTr="00305335">
        <w:trPr>
          <w:trHeight w:val="2409"/>
        </w:trPr>
        <w:tc>
          <w:tcPr>
            <w:tcW w:w="1929" w:type="pct"/>
            <w:shd w:val="clear" w:color="auto" w:fill="auto"/>
          </w:tcPr>
          <w:p w14:paraId="7398FB8A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PO3</w:t>
            </w:r>
          </w:p>
          <w:p w14:paraId="4EF6CF2C" w14:textId="77777777" w:rsidR="00017E87" w:rsidRPr="00305335" w:rsidRDefault="00017E87" w:rsidP="00587DAC">
            <w:p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 xml:space="preserve">There are no significant adverse impacts on amenity, public health or safety resulting from: </w:t>
            </w:r>
          </w:p>
          <w:p w14:paraId="6D76B681" w14:textId="77777777" w:rsidR="00017E87" w:rsidRPr="00305335" w:rsidRDefault="00017E87" w:rsidP="00587D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 xml:space="preserve">the siting, scale and design of buildings or other works. </w:t>
            </w:r>
          </w:p>
          <w:p w14:paraId="7E4465CD" w14:textId="77777777" w:rsidR="00017E87" w:rsidRPr="00305335" w:rsidRDefault="00017E87" w:rsidP="00587D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 xml:space="preserve">waste water disposal. </w:t>
            </w:r>
          </w:p>
          <w:p w14:paraId="21025BE4" w14:textId="77777777" w:rsidR="00017E87" w:rsidRPr="00305335" w:rsidRDefault="00017E87" w:rsidP="00587D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 xml:space="preserve">permanent or temporary occupation of or access to areas subject to natural hazards. </w:t>
            </w:r>
          </w:p>
        </w:tc>
        <w:tc>
          <w:tcPr>
            <w:tcW w:w="1118" w:type="pct"/>
            <w:shd w:val="clear" w:color="auto" w:fill="auto"/>
          </w:tcPr>
          <w:p w14:paraId="728BFB63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AO3</w:t>
            </w:r>
          </w:p>
          <w:p w14:paraId="7F3802B1" w14:textId="77777777" w:rsidR="00017E87" w:rsidRPr="00305335" w:rsidRDefault="00017E87" w:rsidP="00587DAC">
            <w:p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>No acceptable outcome is prescribed.</w:t>
            </w:r>
          </w:p>
        </w:tc>
        <w:tc>
          <w:tcPr>
            <w:tcW w:w="705" w:type="pct"/>
          </w:tcPr>
          <w:p w14:paraId="3CF8BA78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pct"/>
          </w:tcPr>
          <w:p w14:paraId="52D69171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E87" w:rsidRPr="00305335" w14:paraId="1D2B57C3" w14:textId="33F7529D" w:rsidTr="00305335">
        <w:trPr>
          <w:trHeight w:val="2409"/>
        </w:trPr>
        <w:tc>
          <w:tcPr>
            <w:tcW w:w="1929" w:type="pct"/>
            <w:shd w:val="clear" w:color="auto" w:fill="auto"/>
          </w:tcPr>
          <w:p w14:paraId="0FA87410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lastRenderedPageBreak/>
              <w:t>PO4</w:t>
            </w:r>
          </w:p>
          <w:p w14:paraId="4C794A66" w14:textId="77777777" w:rsidR="00017E87" w:rsidRPr="00305335" w:rsidRDefault="00017E87" w:rsidP="00587DAC">
            <w:p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 xml:space="preserve">Development is to ensure the protection and maintenance of places and items of cultural heritage. </w:t>
            </w:r>
          </w:p>
        </w:tc>
        <w:tc>
          <w:tcPr>
            <w:tcW w:w="1118" w:type="pct"/>
            <w:shd w:val="clear" w:color="auto" w:fill="auto"/>
          </w:tcPr>
          <w:p w14:paraId="64281AEC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AO4</w:t>
            </w:r>
          </w:p>
          <w:p w14:paraId="719DB0D7" w14:textId="77777777" w:rsidR="00017E87" w:rsidRPr="00305335" w:rsidRDefault="00017E87" w:rsidP="00587DAC">
            <w:p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 xml:space="preserve">A minimum separation distance of 50m is provided to the ‘bed and banks’ of watercourses and lakes. </w:t>
            </w:r>
          </w:p>
          <w:p w14:paraId="49961188" w14:textId="77777777" w:rsidR="00017E87" w:rsidRPr="00305335" w:rsidRDefault="00017E87" w:rsidP="00587DAC">
            <w:p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 xml:space="preserve">A minimum separation distance of 50m is provided to cemeteries and burial sites as identified in </w:t>
            </w:r>
            <w:r w:rsidRPr="00305335">
              <w:rPr>
                <w:rFonts w:ascii="Arial" w:hAnsi="Arial" w:cs="Arial"/>
                <w:sz w:val="20"/>
                <w:szCs w:val="20"/>
                <w:u w:val="single"/>
              </w:rPr>
              <w:t>Schedule 5 – Local Heritage Places</w:t>
            </w:r>
            <w:r w:rsidRPr="0030533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5" w:type="pct"/>
          </w:tcPr>
          <w:p w14:paraId="4FE6DADB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pct"/>
          </w:tcPr>
          <w:p w14:paraId="32291C1D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E87" w:rsidRPr="00305335" w14:paraId="45AC5C53" w14:textId="47605A08" w:rsidTr="00305335">
        <w:trPr>
          <w:trHeight w:val="2114"/>
        </w:trPr>
        <w:tc>
          <w:tcPr>
            <w:tcW w:w="1929" w:type="pct"/>
            <w:shd w:val="clear" w:color="auto" w:fill="auto"/>
          </w:tcPr>
          <w:p w14:paraId="22D2A703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PO5</w:t>
            </w:r>
          </w:p>
          <w:p w14:paraId="065DE966" w14:textId="77777777" w:rsidR="00017E87" w:rsidRPr="00305335" w:rsidRDefault="00017E87" w:rsidP="00587DAC">
            <w:p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>Uses established in the Recreation and open space zone do not conflict with:</w:t>
            </w:r>
          </w:p>
          <w:p w14:paraId="5BCF9038" w14:textId="77777777" w:rsidR="00017E87" w:rsidRPr="00305335" w:rsidRDefault="00017E87" w:rsidP="00587DA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 xml:space="preserve">petroleum infrastructure that occurs on petroleum leases or under petroleum facility licences and pipeline licences. </w:t>
            </w:r>
          </w:p>
          <w:p w14:paraId="44DCADF4" w14:textId="77777777" w:rsidR="00017E87" w:rsidRPr="00305335" w:rsidRDefault="00017E87" w:rsidP="00587DA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 xml:space="preserve">the function of stock routes. </w:t>
            </w:r>
          </w:p>
          <w:p w14:paraId="610A3BE9" w14:textId="77777777" w:rsidR="00017E87" w:rsidRPr="00305335" w:rsidRDefault="00017E87" w:rsidP="00587DA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>mining leases and claims.</w:t>
            </w:r>
          </w:p>
        </w:tc>
        <w:tc>
          <w:tcPr>
            <w:tcW w:w="1118" w:type="pct"/>
            <w:shd w:val="clear" w:color="auto" w:fill="auto"/>
          </w:tcPr>
          <w:p w14:paraId="60A9446A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 xml:space="preserve">AO5.1 </w:t>
            </w:r>
          </w:p>
          <w:p w14:paraId="58B2907D" w14:textId="77777777" w:rsidR="00017E87" w:rsidRPr="00305335" w:rsidRDefault="00017E87" w:rsidP="00587DAC">
            <w:pPr>
              <w:rPr>
                <w:rFonts w:ascii="Arial" w:hAnsi="Arial" w:cs="Arial"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>Development is located a minimum of 200m from a pipeline or pipeline easement in SPP Mapping – Hazards and Safety – Emissions and Hazardous Activities – High pressure gas pipelines.</w:t>
            </w:r>
          </w:p>
          <w:p w14:paraId="555E0086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b/>
                <w:sz w:val="20"/>
                <w:szCs w:val="20"/>
              </w:rPr>
              <w:t>AO5.2</w:t>
            </w:r>
          </w:p>
          <w:p w14:paraId="1246EADA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335">
              <w:rPr>
                <w:rFonts w:ascii="Arial" w:hAnsi="Arial" w:cs="Arial"/>
                <w:sz w:val="20"/>
                <w:szCs w:val="20"/>
              </w:rPr>
              <w:t>No acceptable outcome is prescribed for the use of lots fronting the stock route network on SPP Mapping – Economic Growth, Agriculture, Stock Route Network.</w:t>
            </w:r>
          </w:p>
        </w:tc>
        <w:tc>
          <w:tcPr>
            <w:tcW w:w="705" w:type="pct"/>
          </w:tcPr>
          <w:p w14:paraId="1672FF42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pct"/>
          </w:tcPr>
          <w:p w14:paraId="566AB3E1" w14:textId="77777777" w:rsidR="00017E87" w:rsidRPr="00305335" w:rsidRDefault="00017E87" w:rsidP="00587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CF9F25" w14:textId="77777777" w:rsidR="006E5BFF" w:rsidRDefault="006E5BFF"/>
    <w:sectPr w:rsidR="006E5BFF" w:rsidSect="004303FB"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E59D" w14:textId="77777777" w:rsidR="004303FB" w:rsidRDefault="004303FB" w:rsidP="004303FB">
      <w:pPr>
        <w:spacing w:after="0" w:line="240" w:lineRule="auto"/>
      </w:pPr>
      <w:r>
        <w:separator/>
      </w:r>
    </w:p>
  </w:endnote>
  <w:endnote w:type="continuationSeparator" w:id="0">
    <w:p w14:paraId="3134939D" w14:textId="77777777" w:rsidR="004303FB" w:rsidRDefault="004303FB" w:rsidP="0043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E75A" w14:textId="77777777" w:rsidR="004303FB" w:rsidRDefault="004303FB" w:rsidP="004303FB">
      <w:pPr>
        <w:spacing w:after="0" w:line="240" w:lineRule="auto"/>
      </w:pPr>
      <w:r>
        <w:separator/>
      </w:r>
    </w:p>
  </w:footnote>
  <w:footnote w:type="continuationSeparator" w:id="0">
    <w:p w14:paraId="3D9E2BB3" w14:textId="77777777" w:rsidR="004303FB" w:rsidRDefault="004303FB" w:rsidP="0043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D01F" w14:textId="16DDCDEE" w:rsidR="004303FB" w:rsidRDefault="004303FB">
    <w:pPr>
      <w:pStyle w:val="Header"/>
    </w:pPr>
    <w:r w:rsidRPr="003F21D2">
      <w:rPr>
        <w:noProof/>
      </w:rPr>
      <w:drawing>
        <wp:anchor distT="0" distB="0" distL="114300" distR="114300" simplePos="0" relativeHeight="251659264" behindDoc="1" locked="0" layoutInCell="1" allowOverlap="1" wp14:anchorId="5631ED30" wp14:editId="1F975EF2">
          <wp:simplePos x="0" y="0"/>
          <wp:positionH relativeFrom="column">
            <wp:posOffset>-933450</wp:posOffset>
          </wp:positionH>
          <wp:positionV relativeFrom="paragraph">
            <wp:posOffset>-457835</wp:posOffset>
          </wp:positionV>
          <wp:extent cx="10696575" cy="10857865"/>
          <wp:effectExtent l="0" t="0" r="9525" b="635"/>
          <wp:wrapNone/>
          <wp:docPr id="29" name="Picture 29" descr="Balonne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onne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1085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2D1F"/>
    <w:multiLevelType w:val="hybridMultilevel"/>
    <w:tmpl w:val="6D38627A"/>
    <w:lvl w:ilvl="0" w:tplc="4044F19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724F"/>
    <w:multiLevelType w:val="hybridMultilevel"/>
    <w:tmpl w:val="188AE556"/>
    <w:lvl w:ilvl="0" w:tplc="EE247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026769">
    <w:abstractNumId w:val="0"/>
  </w:num>
  <w:num w:numId="2" w16cid:durableId="1134251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AC"/>
    <w:rsid w:val="00017E87"/>
    <w:rsid w:val="00305335"/>
    <w:rsid w:val="00330D4C"/>
    <w:rsid w:val="004303FB"/>
    <w:rsid w:val="00587DAC"/>
    <w:rsid w:val="006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A8F02B"/>
  <w15:chartTrackingRefBased/>
  <w15:docId w15:val="{1D755258-D563-4C2B-AD15-E0A81154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0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FB"/>
  </w:style>
  <w:style w:type="paragraph" w:styleId="Footer">
    <w:name w:val="footer"/>
    <w:basedOn w:val="Normal"/>
    <w:link w:val="FooterChar"/>
    <w:uiPriority w:val="99"/>
    <w:unhideWhenUsed/>
    <w:rsid w:val="00430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Young</dc:creator>
  <cp:keywords/>
  <dc:description/>
  <cp:lastModifiedBy>Danielle Pearn</cp:lastModifiedBy>
  <cp:revision>5</cp:revision>
  <dcterms:created xsi:type="dcterms:W3CDTF">2022-03-23T05:31:00Z</dcterms:created>
  <dcterms:modified xsi:type="dcterms:W3CDTF">2022-04-28T22:15:00Z</dcterms:modified>
</cp:coreProperties>
</file>